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w:t>
      </w:r>
      <w:r>
        <w:rPr>
          <w:rFonts w:hint="eastAsia" w:ascii="方正小标宋_GBK" w:hAnsi="华文中宋" w:eastAsia="方正小标宋_GBK" w:cs="宋体"/>
          <w:b/>
          <w:kern w:val="0"/>
          <w:sz w:val="48"/>
          <w:szCs w:val="48"/>
          <w:lang w:eastAsia="zh-CN"/>
        </w:rPr>
        <w:t>乔拉克铁热克镇寄宿制初级中学</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部门单位名称（公章）：特克斯县</w:t>
      </w:r>
      <w:r>
        <w:rPr>
          <w:rFonts w:hint="eastAsia" w:hAnsi="宋体" w:eastAsia="仿宋_GB2312" w:cs="宋体"/>
          <w:kern w:val="0"/>
          <w:sz w:val="36"/>
          <w:szCs w:val="36"/>
          <w:lang w:eastAsia="zh-CN"/>
        </w:rPr>
        <w:t>乔拉克铁热克镇寄宿制初级中学</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年4月28日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bookmarkStart w:id="5" w:name="_Toc70450293"/>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无下属预算单位，下设7个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室，分别是：办公室、教务处、德育处、教研室、总务处、工会、党建办。</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540</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事业在职人员</w:t>
      </w:r>
      <w:r>
        <w:rPr>
          <w:rStyle w:val="16"/>
          <w:rFonts w:hint="eastAsia" w:ascii="仿宋_GB2312" w:hAnsi="楷体" w:eastAsia="仿宋_GB2312"/>
          <w:b w:val="0"/>
          <w:spacing w:val="-4"/>
          <w:sz w:val="28"/>
          <w:szCs w:val="28"/>
          <w:highlight w:val="none"/>
          <w:lang w:val="en-US" w:eastAsia="zh-CN"/>
        </w:rPr>
        <w:t>540</w:t>
      </w:r>
      <w:r>
        <w:rPr>
          <w:rStyle w:val="16"/>
          <w:rFonts w:hint="eastAsia" w:ascii="仿宋_GB2312" w:hAnsi="楷体" w:eastAsia="仿宋_GB2312"/>
          <w:b w:val="0"/>
          <w:spacing w:val="-4"/>
          <w:sz w:val="28"/>
          <w:szCs w:val="28"/>
          <w:highlight w:val="none"/>
        </w:rPr>
        <w:t>人（上年</w:t>
      </w:r>
      <w:r>
        <w:rPr>
          <w:rStyle w:val="16"/>
          <w:rFonts w:hint="eastAsia" w:ascii="仿宋_GB2312" w:hAnsi="楷体" w:eastAsia="仿宋_GB2312"/>
          <w:b w:val="0"/>
          <w:spacing w:val="-4"/>
          <w:sz w:val="28"/>
          <w:szCs w:val="28"/>
          <w:highlight w:val="none"/>
          <w:lang w:val="en-US" w:eastAsia="zh-CN"/>
        </w:rPr>
        <w:t>483</w:t>
      </w:r>
      <w:r>
        <w:rPr>
          <w:rStyle w:val="16"/>
          <w:rFonts w:hint="eastAsia" w:ascii="仿宋_GB2312" w:hAnsi="楷体" w:eastAsia="仿宋_GB2312"/>
          <w:b w:val="0"/>
          <w:spacing w:val="-4"/>
          <w:sz w:val="28"/>
          <w:szCs w:val="28"/>
          <w:highlight w:val="none"/>
        </w:rPr>
        <w:t>人），比上年增加</w:t>
      </w:r>
      <w:r>
        <w:rPr>
          <w:rStyle w:val="16"/>
          <w:rFonts w:hint="eastAsia" w:ascii="仿宋_GB2312" w:hAnsi="楷体" w:eastAsia="仿宋_GB2312"/>
          <w:b w:val="0"/>
          <w:spacing w:val="-4"/>
          <w:sz w:val="28"/>
          <w:szCs w:val="28"/>
          <w:highlight w:val="none"/>
          <w:lang w:val="en-US" w:eastAsia="zh-CN"/>
        </w:rPr>
        <w:t>57</w:t>
      </w:r>
      <w:r>
        <w:rPr>
          <w:rStyle w:val="16"/>
          <w:rFonts w:hint="eastAsia" w:ascii="仿宋_GB2312" w:hAnsi="楷体" w:eastAsia="仿宋_GB2312"/>
          <w:b w:val="0"/>
          <w:spacing w:val="-4"/>
          <w:sz w:val="28"/>
          <w:szCs w:val="28"/>
          <w:highlight w:val="none"/>
        </w:rPr>
        <w:t>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157</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155</w:t>
      </w:r>
      <w:r>
        <w:rPr>
          <w:rStyle w:val="16"/>
          <w:rFonts w:hint="eastAsia" w:ascii="仿宋_GB2312" w:hAnsi="楷体" w:eastAsia="仿宋_GB2312"/>
          <w:b w:val="0"/>
          <w:spacing w:val="-4"/>
          <w:sz w:val="28"/>
          <w:szCs w:val="28"/>
        </w:rPr>
        <w:t>人）,比上一年</w:t>
      </w:r>
      <w:r>
        <w:rPr>
          <w:rStyle w:val="16"/>
          <w:rFonts w:hint="eastAsia" w:ascii="仿宋_GB2312" w:hAnsi="楷体" w:eastAsia="仿宋_GB2312"/>
          <w:b w:val="0"/>
          <w:spacing w:val="-4"/>
          <w:sz w:val="28"/>
          <w:szCs w:val="28"/>
          <w:lang w:val="en-US" w:eastAsia="zh-CN"/>
        </w:rPr>
        <w:t>增加2</w:t>
      </w:r>
      <w:r>
        <w:rPr>
          <w:rStyle w:val="16"/>
          <w:rFonts w:hint="eastAsia" w:ascii="仿宋_GB2312" w:hAnsi="楷体" w:eastAsia="仿宋_GB2312"/>
          <w:b w:val="0"/>
          <w:spacing w:val="-4"/>
          <w:sz w:val="28"/>
          <w:szCs w:val="28"/>
        </w:rPr>
        <w:t>人。</w:t>
      </w:r>
    </w:p>
    <w:p>
      <w:pPr>
        <w:pStyle w:val="5"/>
        <w:numPr>
          <w:ilvl w:val="0"/>
          <w:numId w:val="1"/>
        </w:numPr>
        <w:spacing w:line="360" w:lineRule="auto"/>
        <w:ind w:firstLine="562" w:firstLineChars="200"/>
        <w:rPr>
          <w:rStyle w:val="16"/>
          <w:rFonts w:hint="eastAsia" w:ascii="仿宋" w:hAnsi="仿宋" w:eastAsia="仿宋"/>
          <w:b/>
          <w:bCs/>
        </w:rPr>
      </w:pPr>
      <w:r>
        <w:rPr>
          <w:rStyle w:val="16"/>
          <w:rFonts w:hint="eastAsia" w:ascii="仿宋" w:hAnsi="仿宋" w:eastAsia="仿宋"/>
          <w:b/>
          <w:bCs/>
        </w:rPr>
        <w:t>重点工作计划</w:t>
      </w:r>
      <w:bookmarkEnd w:id="5"/>
    </w:p>
    <w:p>
      <w:pPr>
        <w:ind w:firstLine="544" w:firstLineChars="200"/>
        <w:rPr>
          <w:rFonts w:hint="default" w:eastAsiaTheme="minorEastAsia"/>
          <w:highlight w:val="none"/>
          <w:lang w:val="en-US" w:eastAsia="zh-CN"/>
        </w:rPr>
      </w:pPr>
      <w:r>
        <w:rPr>
          <w:rStyle w:val="16"/>
          <w:rFonts w:hint="eastAsia" w:ascii="仿宋_GB2312" w:hAnsi="楷体" w:eastAsia="仿宋_GB2312"/>
          <w:b w:val="0"/>
          <w:spacing w:val="-4"/>
          <w:sz w:val="28"/>
          <w:szCs w:val="28"/>
          <w:highlight w:val="none"/>
          <w:lang w:val="en-US" w:eastAsia="zh-CN"/>
        </w:rPr>
        <w:t>强化服务意识，法制意识，忧患意识，节约意识，风险意识，机遇意识和大局意识；做好为教育教学工作服务，为教职工的工作和生活服务，为学生的健康成长服务，为学校的可持续发展服务。</w:t>
      </w:r>
    </w:p>
    <w:p>
      <w:pPr>
        <w:spacing w:line="360" w:lineRule="auto"/>
        <w:ind w:firstLine="544" w:firstLineChars="200"/>
        <w:rPr>
          <w:rStyle w:val="16"/>
          <w:rFonts w:ascii="仿宋_GB2312" w:hAnsi="楷体" w:eastAsia="仿宋_GB2312"/>
          <w:b w:val="0"/>
          <w:spacing w:val="-4"/>
          <w:sz w:val="28"/>
          <w:szCs w:val="28"/>
          <w:highlight w:val="none"/>
        </w:rPr>
      </w:pPr>
      <w:bookmarkStart w:id="6" w:name="_Toc70450294"/>
      <w:r>
        <w:rPr>
          <w:rStyle w:val="16"/>
          <w:rFonts w:hint="eastAsia" w:ascii="仿宋_GB2312" w:hAnsi="楷体" w:eastAsia="仿宋_GB2312"/>
          <w:b w:val="0"/>
          <w:spacing w:val="-4"/>
          <w:sz w:val="28"/>
          <w:szCs w:val="28"/>
          <w:highlight w:val="none"/>
        </w:rPr>
        <w:t>（1）确保人员经费的合理分配。</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（2）完成在职教师工资发放、按时完成社保、公积金缴纳。</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（3）及时完成退休教师取暖费、计生奖励金按时发放。</w:t>
      </w:r>
    </w:p>
    <w:p>
      <w:pPr>
        <w:spacing w:line="360" w:lineRule="auto"/>
        <w:ind w:firstLine="544" w:firstLineChars="200"/>
        <w:rPr>
          <w:rStyle w:val="16"/>
          <w:rFonts w:ascii="仿宋_GB2312" w:hAnsi="楷体" w:eastAsia="仿宋_GB2312"/>
          <w:b w:val="0"/>
          <w:spacing w:val="-4"/>
          <w:sz w:val="28"/>
          <w:szCs w:val="28"/>
          <w:highlight w:val="yellow"/>
        </w:rPr>
      </w:pPr>
      <w:r>
        <w:rPr>
          <w:rStyle w:val="16"/>
          <w:rFonts w:hint="eastAsia" w:ascii="仿宋_GB2312" w:hAnsi="楷体" w:eastAsia="仿宋_GB2312"/>
          <w:b w:val="0"/>
          <w:spacing w:val="-4"/>
          <w:sz w:val="28"/>
          <w:szCs w:val="28"/>
          <w:highlight w:val="none"/>
        </w:rPr>
        <w:t>（4）完成每年教学任务。全面推进各类教师能力提升培训，加强教师队伍建设。完成好教育教学管理工作。</w:t>
      </w:r>
    </w:p>
    <w:p>
      <w:pPr>
        <w:pStyle w:val="4"/>
        <w:spacing w:line="360" w:lineRule="auto"/>
        <w:ind w:firstLine="138" w:firstLineChars="49"/>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w:t>
      </w:r>
      <w:r>
        <w:rPr>
          <w:rStyle w:val="16"/>
          <w:rFonts w:hint="eastAsia" w:ascii="仿宋_GB2312" w:hAnsi="楷体" w:eastAsia="仿宋_GB2312"/>
          <w:b w:val="0"/>
          <w:spacing w:val="-4"/>
          <w:sz w:val="28"/>
          <w:szCs w:val="28"/>
          <w:lang w:val="en-US" w:eastAsia="zh-CN"/>
        </w:rPr>
        <w:t>我单位</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8444.43</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8444.43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2021年中追加</w:t>
      </w:r>
      <w:r>
        <w:rPr>
          <w:rStyle w:val="16"/>
          <w:rFonts w:hint="eastAsia" w:ascii="仿宋_GB2312" w:hAnsi="楷体" w:eastAsia="仿宋_GB2312"/>
          <w:b w:val="0"/>
          <w:spacing w:val="-4"/>
          <w:sz w:val="28"/>
          <w:szCs w:val="28"/>
          <w:lang w:val="en-US" w:eastAsia="zh-CN"/>
        </w:rPr>
        <w:t>3176.03</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60.28</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7987.45</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456.98</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5.72</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8444.43</w:t>
      </w:r>
      <w:r>
        <w:rPr>
          <w:rStyle w:val="16"/>
          <w:rFonts w:hint="eastAsia" w:ascii="仿宋_GB2312" w:hAnsi="楷体" w:eastAsia="仿宋_GB2312"/>
          <w:b w:val="0"/>
          <w:spacing w:val="-4"/>
          <w:sz w:val="28"/>
          <w:szCs w:val="28"/>
        </w:rPr>
        <w:t>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8444.43</w:t>
      </w:r>
      <w:r>
        <w:rPr>
          <w:rStyle w:val="16"/>
          <w:rFonts w:hint="eastAsia" w:ascii="仿宋_GB2312" w:hAnsi="楷体" w:eastAsia="仿宋_GB2312"/>
          <w:b w:val="0"/>
          <w:spacing w:val="-4"/>
          <w:sz w:val="28"/>
          <w:szCs w:val="28"/>
        </w:rPr>
        <w:t>万元，占总支出的100％，主要用于特克斯县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机构正常运转、完成日常工作任务而发生的各项支出。其中：工资福利支出7305</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31万元，主要用于在职和离退休人员基本工资、津贴补贴等人员经费。商品和服务支出880</w:t>
      </w:r>
      <w:r>
        <w:rPr>
          <w:rStyle w:val="16"/>
          <w:rFonts w:hint="eastAsia" w:ascii="仿宋_GB2312" w:hAnsi="楷体" w:eastAsia="仿宋_GB2312"/>
          <w:b w:val="0"/>
          <w:spacing w:val="-4"/>
          <w:sz w:val="28"/>
          <w:szCs w:val="28"/>
          <w:lang w:val="en-US" w:eastAsia="zh-CN"/>
        </w:rPr>
        <w:t>.50</w:t>
      </w:r>
      <w:r>
        <w:rPr>
          <w:rStyle w:val="16"/>
          <w:rFonts w:hint="eastAsia" w:ascii="仿宋_GB2312" w:hAnsi="楷体" w:eastAsia="仿宋_GB2312"/>
          <w:b w:val="0"/>
          <w:spacing w:val="-4"/>
          <w:sz w:val="28"/>
          <w:szCs w:val="28"/>
        </w:rPr>
        <w:t>万元，主要用于办公费、印刷费、水电费、办公设备购置等。对个人和家庭的补助258</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62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ascii="仿宋_GB2312" w:hAnsi="楷体" w:eastAsia="仿宋_GB2312"/>
          <w:b w:val="0"/>
          <w:spacing w:val="-4"/>
          <w:sz w:val="28"/>
          <w:szCs w:val="28"/>
          <w:highlight w:val="none"/>
        </w:rPr>
      </w:pPr>
      <w:bookmarkStart w:id="9" w:name="_Toc70450296"/>
      <w:r>
        <w:rPr>
          <w:rStyle w:val="16"/>
          <w:rFonts w:hint="eastAsia" w:ascii="仿宋_GB2312" w:hAnsi="楷体" w:eastAsia="仿宋_GB2312"/>
          <w:b w:val="0"/>
          <w:spacing w:val="-4"/>
          <w:sz w:val="28"/>
          <w:szCs w:val="28"/>
          <w:highlight w:val="none"/>
        </w:rPr>
        <w:t>（2）项目支出0万元，占总支出的0％。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）本年度重点项目支出0万元，重点支出保障率0%。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（4）本年度我单位无政府采购预算。</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本次项目支出绩效自评采用因素分析法方法，原因是：</w:t>
      </w:r>
      <w:r>
        <w:rPr>
          <w:rStyle w:val="16"/>
          <w:rFonts w:hint="eastAsia" w:ascii="仿宋_GB2312" w:hAnsi="楷体" w:eastAsia="仿宋_GB2312"/>
          <w:b w:val="0"/>
          <w:spacing w:val="-4"/>
          <w:sz w:val="28"/>
          <w:szCs w:val="28"/>
          <w:lang w:val="en-US" w:eastAsia="zh-CN"/>
        </w:rPr>
        <w:t>特克斯县乔拉克铁热克镇寄宿制初级中学</w:t>
      </w:r>
      <w:r>
        <w:rPr>
          <w:rStyle w:val="16"/>
          <w:rFonts w:hint="eastAsia" w:ascii="仿宋_GB2312" w:hAnsi="楷体" w:eastAsia="仿宋_GB2312"/>
          <w:b w:val="0"/>
          <w:spacing w:val="-4"/>
          <w:sz w:val="28"/>
          <w:szCs w:val="28"/>
        </w:rPr>
        <w:t>从数量上确定各因素对分析指标影响方向和影响程度一种方法，运用因素分析法应注意因素关联性、顺序性。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ascii="仿宋_GB2312" w:hAnsi="楷体" w:eastAsia="仿宋_GB2312"/>
          <w:b w:val="0"/>
          <w:spacing w:val="-4"/>
          <w:sz w:val="28"/>
          <w:szCs w:val="28"/>
        </w:rPr>
      </w:pPr>
      <w:bookmarkStart w:id="10" w:name="_Toc70450297"/>
      <w:r>
        <w:rPr>
          <w:rStyle w:val="16"/>
          <w:rFonts w:hint="eastAsia" w:ascii="仿宋_GB2312" w:hAnsi="楷体" w:eastAsia="仿宋_GB2312"/>
          <w:b w:val="0"/>
          <w:spacing w:val="-4"/>
          <w:sz w:val="28"/>
          <w:szCs w:val="28"/>
        </w:rPr>
        <w:t>涉及对象：本次评价对象是特克斯县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所有财政资金支出活动。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8444.43</w:t>
      </w:r>
      <w:r>
        <w:rPr>
          <w:rStyle w:val="16"/>
          <w:rFonts w:hint="eastAsia" w:ascii="仿宋_GB2312" w:hAnsi="楷体" w:eastAsia="仿宋_GB2312"/>
          <w:b w:val="0"/>
          <w:spacing w:val="-4"/>
          <w:sz w:val="28"/>
          <w:szCs w:val="28"/>
        </w:rPr>
        <w:t>万元，其中：工资福利支出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商品和服务支出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fldChar w:fldCharType="begin"/>
      </w:r>
      <w:r>
        <w:rPr>
          <w:rStyle w:val="16"/>
          <w:rFonts w:hint="eastAsia" w:ascii="仿宋_GB2312" w:hAnsi="楷体" w:eastAsia="仿宋_GB2312"/>
          <w:b w:val="0"/>
          <w:spacing w:val="-4"/>
          <w:sz w:val="28"/>
          <w:szCs w:val="28"/>
          <w:highlight w:val="none"/>
        </w:rPr>
        <w:instrText xml:space="preserve"> = 2 \* GB3 </w:instrText>
      </w:r>
      <w:r>
        <w:rPr>
          <w:rStyle w:val="16"/>
          <w:rFonts w:hint="eastAsia"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hint="eastAsia"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ascii="仿宋_GB2312" w:hAnsi="楷体" w:eastAsia="仿宋_GB2312"/>
          <w:b w:val="0"/>
          <w:spacing w:val="-4"/>
          <w:sz w:val="28"/>
          <w:szCs w:val="28"/>
        </w:rPr>
      </w:pPr>
      <w:bookmarkStart w:id="13" w:name="_Toc70450300"/>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严格按照财政部门预算编制与预算调整的工作要求，在预算编制、分配依据充分的条件下，切实做好“先定目标再编预算”，确保预算分配结果合理。同时按照特克斯县</w:t>
      </w:r>
      <w:r>
        <w:rPr>
          <w:rStyle w:val="16"/>
          <w:rFonts w:hint="eastAsia" w:ascii="仿宋_GB2312" w:hAnsi="楷体" w:eastAsia="仿宋_GB2312"/>
          <w:b w:val="0"/>
          <w:spacing w:val="-4"/>
          <w:sz w:val="28"/>
          <w:szCs w:val="28"/>
          <w:lang w:val="en-US" w:eastAsia="zh-CN"/>
        </w:rPr>
        <w:t>财政局</w:t>
      </w:r>
      <w:r>
        <w:rPr>
          <w:rStyle w:val="16"/>
          <w:rFonts w:hint="eastAsia" w:ascii="仿宋_GB2312" w:hAnsi="楷体" w:eastAsia="仿宋_GB2312"/>
          <w:b w:val="0"/>
          <w:spacing w:val="-4"/>
          <w:sz w:val="28"/>
          <w:szCs w:val="28"/>
        </w:rPr>
        <w:t>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按照财政要求基本支出分月度申报资金使用计划，由财政部门按照进度每月按期拨付，人员支出按照工资计划发放工资；依照特克斯县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《财务管理制度》相关规定和特克斯县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《财务管理制度》规定流程，资金支出按照我内控体系中设定的流程申报审批进行；项目支出属于政府采购的，按照局特克斯县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8444.43</w:t>
      </w:r>
      <w:r>
        <w:rPr>
          <w:rStyle w:val="16"/>
          <w:rFonts w:hint="eastAsia" w:ascii="仿宋_GB2312" w:hAnsi="楷体" w:eastAsia="仿宋_GB2312"/>
          <w:b w:val="0"/>
          <w:spacing w:val="-4"/>
          <w:sz w:val="28"/>
          <w:szCs w:val="28"/>
        </w:rPr>
        <w:t>万元，实际到</w:t>
      </w:r>
      <w:r>
        <w:rPr>
          <w:rStyle w:val="16"/>
          <w:rFonts w:hint="eastAsia" w:ascii="仿宋_GB2312" w:hAnsi="楷体" w:eastAsia="仿宋_GB2312"/>
          <w:b w:val="0"/>
          <w:spacing w:val="-4"/>
          <w:sz w:val="28"/>
          <w:szCs w:val="28"/>
          <w:lang w:val="en-US" w:eastAsia="zh-CN"/>
        </w:rPr>
        <w:t>8444.43</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8444.43</w:t>
      </w:r>
      <w:r>
        <w:rPr>
          <w:rStyle w:val="16"/>
          <w:rFonts w:hint="eastAsia" w:ascii="仿宋_GB2312" w:hAnsi="楷体" w:eastAsia="仿宋_GB2312"/>
          <w:b w:val="0"/>
          <w:spacing w:val="-4"/>
          <w:sz w:val="28"/>
          <w:szCs w:val="28"/>
        </w:rPr>
        <w:t>万元，占总支出的100％，其中：工资福利支出1149.38万元、商品和服务支出880</w:t>
      </w:r>
      <w:r>
        <w:rPr>
          <w:rStyle w:val="16"/>
          <w:rFonts w:hint="eastAsia" w:ascii="仿宋_GB2312" w:hAnsi="楷体" w:eastAsia="仿宋_GB2312"/>
          <w:b w:val="0"/>
          <w:spacing w:val="-4"/>
          <w:sz w:val="28"/>
          <w:szCs w:val="28"/>
          <w:lang w:val="en-US" w:eastAsia="zh-CN"/>
        </w:rPr>
        <w:t>.50</w:t>
      </w:r>
      <w:r>
        <w:rPr>
          <w:rStyle w:val="16"/>
          <w:rFonts w:hint="eastAsia" w:ascii="仿宋_GB2312" w:hAnsi="楷体" w:eastAsia="仿宋_GB2312"/>
          <w:b w:val="0"/>
          <w:spacing w:val="-4"/>
          <w:sz w:val="28"/>
          <w:szCs w:val="28"/>
        </w:rPr>
        <w:t>万元、对个人和家庭的补助258</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62万元、主要用于人员工资支出，办公费、印刷费、水电费、办公设备购置等。资本性支出0万元。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7987.45</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456.98</w:t>
      </w:r>
      <w:r>
        <w:rPr>
          <w:rStyle w:val="16"/>
          <w:rFonts w:hint="eastAsia" w:ascii="仿宋_GB2312" w:hAnsi="楷体" w:eastAsia="仿宋_GB2312"/>
          <w:b w:val="0"/>
          <w:spacing w:val="-4"/>
          <w:sz w:val="28"/>
          <w:szCs w:val="28"/>
        </w:rPr>
        <w:t xml:space="preserve"> 万元，上升 </w:t>
      </w:r>
      <w:r>
        <w:rPr>
          <w:rStyle w:val="16"/>
          <w:rFonts w:hint="eastAsia" w:ascii="仿宋_GB2312" w:hAnsi="楷体" w:eastAsia="仿宋_GB2312"/>
          <w:b w:val="0"/>
          <w:spacing w:val="-4"/>
          <w:sz w:val="28"/>
          <w:szCs w:val="28"/>
          <w:lang w:val="en-US" w:eastAsia="zh-CN"/>
        </w:rPr>
        <w:t>5.72</w:t>
      </w:r>
      <w:r>
        <w:rPr>
          <w:rStyle w:val="16"/>
          <w:rFonts w:hint="eastAsia" w:ascii="仿宋_GB2312" w:hAnsi="楷体" w:eastAsia="仿宋_GB2312"/>
          <w:b w:val="0"/>
          <w:spacing w:val="-4"/>
          <w:sz w:val="28"/>
          <w:szCs w:val="28"/>
        </w:rPr>
        <w:t>%，支出上升的主要原因是人员调整，特岗入编，人数增加，兑现了部分人员职称工资，2021年3月绩效调标，发放2018年.2020年绩效奖金及2020年综合治理奖。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（1）制定了特克斯县</w:t>
      </w:r>
      <w:r>
        <w:rPr>
          <w:rStyle w:val="16"/>
          <w:rFonts w:hint="eastAsia" w:ascii="仿宋_GB2312" w:hAnsi="楷体" w:eastAsia="仿宋_GB2312"/>
          <w:b w:val="0"/>
          <w:spacing w:val="-4"/>
          <w:sz w:val="28"/>
          <w:szCs w:val="28"/>
          <w:highlight w:val="none"/>
          <w:lang w:eastAsia="zh-CN"/>
        </w:rPr>
        <w:t>乔拉克铁热克镇寄宿制初级中学</w:t>
      </w:r>
      <w:r>
        <w:rPr>
          <w:rStyle w:val="16"/>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）建立特克斯县</w:t>
      </w:r>
      <w:r>
        <w:rPr>
          <w:rStyle w:val="16"/>
          <w:rFonts w:hint="eastAsia" w:ascii="仿宋_GB2312" w:hAnsi="楷体" w:eastAsia="仿宋_GB2312"/>
          <w:b w:val="0"/>
          <w:spacing w:val="-4"/>
          <w:sz w:val="28"/>
          <w:szCs w:val="28"/>
          <w:highlight w:val="none"/>
          <w:lang w:eastAsia="zh-CN"/>
        </w:rPr>
        <w:t>乔拉克铁热克镇寄宿制初级中学</w:t>
      </w:r>
      <w:r>
        <w:rPr>
          <w:rStyle w:val="16"/>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（3）制订了特克斯县</w:t>
      </w:r>
      <w:r>
        <w:rPr>
          <w:rStyle w:val="16"/>
          <w:rFonts w:hint="eastAsia" w:ascii="仿宋_GB2312" w:hAnsi="楷体" w:eastAsia="仿宋_GB2312"/>
          <w:b w:val="0"/>
          <w:spacing w:val="-4"/>
          <w:sz w:val="28"/>
          <w:szCs w:val="28"/>
          <w:highlight w:val="none"/>
          <w:lang w:eastAsia="zh-CN"/>
        </w:rPr>
        <w:t>乔拉克铁热克镇寄宿制初级中学</w:t>
      </w:r>
      <w:r>
        <w:rPr>
          <w:rStyle w:val="16"/>
          <w:rFonts w:hint="eastAsia" w:ascii="仿宋_GB2312" w:hAnsi="楷体" w:eastAsia="仿宋_GB2312"/>
          <w:b w:val="0"/>
          <w:spacing w:val="-4"/>
          <w:sz w:val="28"/>
          <w:szCs w:val="28"/>
          <w:highlight w:val="none"/>
        </w:rPr>
        <w:t>项目实施方案，确保项目顺利进行。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（4）认真组织特克斯县</w:t>
      </w:r>
      <w:r>
        <w:rPr>
          <w:rStyle w:val="16"/>
          <w:rFonts w:hint="eastAsia" w:ascii="仿宋_GB2312" w:hAnsi="楷体" w:eastAsia="仿宋_GB2312"/>
          <w:b w:val="0"/>
          <w:spacing w:val="-4"/>
          <w:sz w:val="28"/>
          <w:szCs w:val="28"/>
          <w:highlight w:val="none"/>
          <w:lang w:eastAsia="zh-CN"/>
        </w:rPr>
        <w:t>乔拉克铁热克镇寄宿制初级中学</w:t>
      </w:r>
      <w:r>
        <w:rPr>
          <w:rStyle w:val="16"/>
          <w:rFonts w:hint="eastAsia" w:ascii="仿宋_GB2312" w:hAnsi="楷体" w:eastAsia="仿宋_GB2312"/>
          <w:b w:val="0"/>
          <w:spacing w:val="-4"/>
          <w:sz w:val="28"/>
          <w:szCs w:val="28"/>
          <w:highlight w:val="none"/>
        </w:rPr>
        <w:t>项目验收，确保项目顺利进行。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2021年我单位未安排项目支出预算.</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资产总额4115</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4</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万元，其中流动资产   0万元，固定资产净值4115</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4</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万元（其中：土地、房屋及构筑物</w:t>
      </w:r>
      <w:r>
        <w:rPr>
          <w:rStyle w:val="16"/>
          <w:rFonts w:hint="eastAsia" w:ascii="仿宋_GB2312" w:hAnsi="楷体" w:eastAsia="仿宋_GB2312"/>
          <w:b w:val="0"/>
          <w:spacing w:val="-4"/>
          <w:sz w:val="28"/>
          <w:szCs w:val="28"/>
          <w:lang w:val="en-US" w:eastAsia="zh-CN"/>
        </w:rPr>
        <w:t>3356.25</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81.55</w:t>
      </w:r>
      <w:r>
        <w:rPr>
          <w:rStyle w:val="16"/>
          <w:rFonts w:hint="eastAsia" w:ascii="仿宋_GB2312" w:hAnsi="楷体" w:eastAsia="仿宋_GB2312"/>
          <w:b w:val="0"/>
          <w:spacing w:val="-4"/>
          <w:sz w:val="28"/>
          <w:szCs w:val="28"/>
        </w:rPr>
        <w:t>%；通用设备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%；专用设备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本年度流动资产0万元，比上年增加0万元，原因是：2021年度我单位无流动资产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本年度固定资产4115</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4</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万元，比上年增加0.1万元，原因是：</w:t>
      </w:r>
      <w:r>
        <w:rPr>
          <w:rStyle w:val="16"/>
          <w:rFonts w:hint="eastAsia" w:ascii="仿宋_GB2312" w:hAnsi="宋体" w:eastAsia="仿宋_GB2312"/>
          <w:b w:val="0"/>
          <w:bCs w:val="0"/>
          <w:spacing w:val="-4"/>
          <w:sz w:val="28"/>
          <w:szCs w:val="28"/>
        </w:rPr>
        <w:t>通用设备增加。</w:t>
      </w:r>
      <w:r>
        <w:rPr>
          <w:rStyle w:val="16"/>
          <w:rFonts w:hint="eastAsia" w:ascii="仿宋_GB2312" w:hAnsi="楷体" w:eastAsia="仿宋_GB2312"/>
          <w:b w:val="0"/>
          <w:spacing w:val="-4"/>
          <w:sz w:val="28"/>
          <w:szCs w:val="28"/>
        </w:rPr>
        <w:t xml:space="preserve">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实际在用固定资产4115</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4</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万元，固定资产利用率100%。</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2021年度我单位年初预算安排</w:t>
      </w:r>
      <w:r>
        <w:rPr>
          <w:rStyle w:val="16"/>
          <w:rFonts w:hint="eastAsia" w:ascii="仿宋_GB2312" w:hAnsi="楷体" w:eastAsia="仿宋_GB2312"/>
          <w:b w:val="0"/>
          <w:spacing w:val="-4"/>
          <w:sz w:val="28"/>
          <w:szCs w:val="28"/>
          <w:lang w:val="en-US" w:eastAsia="zh-CN"/>
        </w:rPr>
        <w:t>5268.40</w:t>
      </w:r>
      <w:r>
        <w:rPr>
          <w:rStyle w:val="16"/>
          <w:rFonts w:hint="eastAsia" w:ascii="仿宋_GB2312" w:hAnsi="楷体" w:eastAsia="仿宋_GB2312"/>
          <w:b w:val="0"/>
          <w:spacing w:val="-4"/>
          <w:sz w:val="28"/>
          <w:szCs w:val="28"/>
        </w:rPr>
        <w:t>万元，年中调整</w:t>
      </w:r>
      <w:r>
        <w:rPr>
          <w:rStyle w:val="16"/>
          <w:rFonts w:hint="eastAsia" w:ascii="仿宋_GB2312" w:hAnsi="楷体" w:eastAsia="仿宋_GB2312"/>
          <w:b w:val="0"/>
          <w:spacing w:val="-4"/>
          <w:sz w:val="28"/>
          <w:szCs w:val="28"/>
          <w:lang w:val="en-US" w:eastAsia="zh-CN"/>
        </w:rPr>
        <w:t>3176.03</w:t>
      </w:r>
      <w:r>
        <w:rPr>
          <w:rStyle w:val="16"/>
          <w:rFonts w:hint="eastAsia" w:ascii="仿宋_GB2312" w:hAnsi="楷体" w:eastAsia="仿宋_GB2312"/>
          <w:b w:val="0"/>
          <w:spacing w:val="-4"/>
          <w:sz w:val="28"/>
          <w:szCs w:val="28"/>
        </w:rPr>
        <w:t>万元，截止12月底支出</w:t>
      </w:r>
      <w:r>
        <w:rPr>
          <w:rStyle w:val="16"/>
          <w:rFonts w:hint="eastAsia" w:ascii="仿宋_GB2312" w:hAnsi="楷体" w:eastAsia="仿宋_GB2312"/>
          <w:b w:val="0"/>
          <w:spacing w:val="-4"/>
          <w:sz w:val="28"/>
          <w:szCs w:val="28"/>
          <w:lang w:val="en-US" w:eastAsia="zh-CN"/>
        </w:rPr>
        <w:t>8444.43</w:t>
      </w:r>
      <w:r>
        <w:rPr>
          <w:rStyle w:val="16"/>
          <w:rFonts w:hint="eastAsia" w:ascii="仿宋_GB2312" w:hAnsi="楷体" w:eastAsia="仿宋_GB2312"/>
          <w:b w:val="0"/>
          <w:spacing w:val="-4"/>
          <w:sz w:val="28"/>
          <w:szCs w:val="28"/>
        </w:rPr>
        <w:t>万元，执行率100%。</w:t>
      </w:r>
      <w:bookmarkStart w:id="33" w:name="_GoBack"/>
      <w:bookmarkEnd w:id="3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2021年，在特克斯县人民政府的大力支持和教育局党委的正确领导下，特克斯县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迎难而上、务实重干，积极推动各项教育工作取得了新的进展，为促进经济持续健康发展与社会和谐稳定提供了有力的教育支撑和保障。</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4、教育教学全面达标，群众满意度高。</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乔拉克铁热克镇寄宿制初级中学</w:t>
      </w:r>
      <w:r>
        <w:rPr>
          <w:rStyle w:val="16"/>
          <w:rFonts w:hint="eastAsia" w:ascii="仿宋_GB2312" w:hAnsi="楷体" w:eastAsia="仿宋_GB2312"/>
          <w:b w:val="0"/>
          <w:spacing w:val="-4"/>
          <w:sz w:val="28"/>
          <w:szCs w:val="28"/>
        </w:rPr>
        <w:t>整体绩效目标共设置一级指标3个，二级指标  6个，三级指标1</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个，详细说明如下</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1、数量指标：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指标1：保障在职人员人数，指标值：=</w:t>
      </w:r>
      <w:r>
        <w:rPr>
          <w:rStyle w:val="16"/>
          <w:rFonts w:hint="eastAsia" w:ascii="仿宋_GB2312" w:hAnsi="楷体" w:eastAsia="仿宋_GB2312"/>
          <w:b w:val="0"/>
          <w:spacing w:val="-4"/>
          <w:sz w:val="28"/>
          <w:szCs w:val="28"/>
          <w:lang w:val="en-US" w:eastAsia="zh-CN"/>
        </w:rPr>
        <w:t>483</w:t>
      </w:r>
      <w:r>
        <w:rPr>
          <w:rStyle w:val="16"/>
          <w:rFonts w:hint="eastAsia" w:ascii="仿宋_GB2312" w:hAnsi="楷体" w:eastAsia="仿宋_GB2312"/>
          <w:b w:val="0"/>
          <w:spacing w:val="-4"/>
          <w:sz w:val="28"/>
          <w:szCs w:val="28"/>
        </w:rPr>
        <w:t>人，实际完成值：</w:t>
      </w:r>
      <w:r>
        <w:rPr>
          <w:rStyle w:val="16"/>
          <w:rFonts w:hint="eastAsia" w:ascii="仿宋_GB2312" w:hAnsi="楷体" w:eastAsia="仿宋_GB2312"/>
          <w:b w:val="0"/>
          <w:spacing w:val="-4"/>
          <w:sz w:val="28"/>
          <w:szCs w:val="28"/>
          <w:highlight w:val="none"/>
          <w:lang w:val="en-US" w:eastAsia="zh-CN"/>
        </w:rPr>
        <w:t>483</w:t>
      </w:r>
      <w:r>
        <w:rPr>
          <w:rStyle w:val="16"/>
          <w:rFonts w:hint="eastAsia" w:ascii="仿宋_GB2312" w:hAnsi="楷体" w:eastAsia="仿宋_GB2312"/>
          <w:b w:val="0"/>
          <w:spacing w:val="-4"/>
          <w:sz w:val="28"/>
          <w:szCs w:val="28"/>
          <w:highlight w:val="none"/>
        </w:rPr>
        <w:t>人</w:t>
      </w:r>
      <w:r>
        <w:rPr>
          <w:rStyle w:val="16"/>
          <w:rFonts w:hint="eastAsia" w:ascii="仿宋_GB2312" w:hAnsi="楷体" w:eastAsia="仿宋_GB2312"/>
          <w:b w:val="0"/>
          <w:spacing w:val="-4"/>
          <w:sz w:val="28"/>
          <w:szCs w:val="28"/>
        </w:rPr>
        <w:t>，指标完成率1</w:t>
      </w:r>
      <w:r>
        <w:rPr>
          <w:rStyle w:val="16"/>
          <w:rFonts w:ascii="仿宋_GB2312" w:hAnsi="楷体" w:eastAsia="仿宋_GB2312"/>
          <w:b w:val="0"/>
          <w:spacing w:val="-4"/>
          <w:sz w:val="28"/>
          <w:szCs w:val="28"/>
        </w:rPr>
        <w:t>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指标2：退休人员数，指标值：=</w:t>
      </w:r>
      <w:r>
        <w:rPr>
          <w:rStyle w:val="16"/>
          <w:rFonts w:hint="eastAsia" w:ascii="仿宋_GB2312" w:hAnsi="楷体" w:eastAsia="仿宋_GB2312"/>
          <w:b w:val="0"/>
          <w:spacing w:val="-4"/>
          <w:sz w:val="28"/>
          <w:szCs w:val="28"/>
          <w:lang w:val="en-US" w:eastAsia="zh-CN"/>
        </w:rPr>
        <w:t>155</w:t>
      </w:r>
      <w:r>
        <w:rPr>
          <w:rStyle w:val="16"/>
          <w:rFonts w:hint="eastAsia" w:ascii="仿宋_GB2312" w:hAnsi="楷体" w:eastAsia="仿宋_GB2312"/>
          <w:b w:val="0"/>
          <w:spacing w:val="-4"/>
          <w:sz w:val="28"/>
          <w:szCs w:val="28"/>
        </w:rPr>
        <w:t>人，实际完成</w:t>
      </w:r>
      <w:r>
        <w:rPr>
          <w:rStyle w:val="16"/>
          <w:rFonts w:hint="eastAsia" w:ascii="仿宋_GB2312" w:hAnsi="楷体" w:eastAsia="仿宋_GB2312"/>
          <w:b w:val="0"/>
          <w:spacing w:val="-4"/>
          <w:sz w:val="28"/>
          <w:szCs w:val="28"/>
          <w:highlight w:val="none"/>
        </w:rPr>
        <w:t>值：</w:t>
      </w:r>
      <w:r>
        <w:rPr>
          <w:rStyle w:val="16"/>
          <w:rFonts w:hint="eastAsia" w:ascii="仿宋_GB2312" w:hAnsi="楷体" w:eastAsia="仿宋_GB2312"/>
          <w:b w:val="0"/>
          <w:spacing w:val="-4"/>
          <w:sz w:val="28"/>
          <w:szCs w:val="28"/>
          <w:highlight w:val="none"/>
          <w:lang w:val="en-US" w:eastAsia="zh-CN"/>
        </w:rPr>
        <w:t>155</w:t>
      </w:r>
      <w:r>
        <w:rPr>
          <w:rStyle w:val="16"/>
          <w:rFonts w:hint="eastAsia" w:ascii="仿宋_GB2312" w:hAnsi="楷体" w:eastAsia="仿宋_GB2312"/>
          <w:b w:val="0"/>
          <w:spacing w:val="-4"/>
          <w:sz w:val="28"/>
          <w:szCs w:val="28"/>
          <w:highlight w:val="none"/>
        </w:rPr>
        <w:t>人 ，</w:t>
      </w:r>
      <w:r>
        <w:rPr>
          <w:rStyle w:val="16"/>
          <w:rFonts w:hint="eastAsia" w:ascii="仿宋_GB2312" w:hAnsi="楷体" w:eastAsia="仿宋_GB2312"/>
          <w:b w:val="0"/>
          <w:spacing w:val="-4"/>
          <w:sz w:val="28"/>
          <w:szCs w:val="28"/>
        </w:rPr>
        <w:t>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指标3：保障采暖补贴人员人数，指标值：=</w:t>
      </w:r>
      <w:r>
        <w:rPr>
          <w:rStyle w:val="16"/>
          <w:rFonts w:hint="eastAsia" w:ascii="仿宋_GB2312" w:hAnsi="楷体" w:eastAsia="仿宋_GB2312"/>
          <w:b w:val="0"/>
          <w:spacing w:val="-4"/>
          <w:sz w:val="28"/>
          <w:szCs w:val="28"/>
          <w:lang w:val="en-US" w:eastAsia="zh-CN"/>
        </w:rPr>
        <w:t>638</w:t>
      </w:r>
      <w:r>
        <w:rPr>
          <w:rStyle w:val="16"/>
          <w:rFonts w:hint="eastAsia" w:ascii="仿宋_GB2312" w:hAnsi="楷体" w:eastAsia="仿宋_GB2312"/>
          <w:b w:val="0"/>
          <w:spacing w:val="-4"/>
          <w:sz w:val="28"/>
          <w:szCs w:val="28"/>
        </w:rPr>
        <w:t>人，实际完成值：</w:t>
      </w:r>
      <w:r>
        <w:rPr>
          <w:rStyle w:val="16"/>
          <w:rFonts w:hint="eastAsia" w:ascii="仿宋_GB2312" w:hAnsi="楷体" w:eastAsia="仿宋_GB2312"/>
          <w:b w:val="0"/>
          <w:spacing w:val="-4"/>
          <w:sz w:val="28"/>
          <w:szCs w:val="28"/>
          <w:lang w:val="en-US" w:eastAsia="zh-CN"/>
        </w:rPr>
        <w:t>638</w:t>
      </w:r>
      <w:r>
        <w:rPr>
          <w:rStyle w:val="16"/>
          <w:rFonts w:hint="eastAsia" w:ascii="仿宋_GB2312" w:hAnsi="楷体" w:eastAsia="仿宋_GB2312"/>
          <w:b w:val="0"/>
          <w:spacing w:val="-4"/>
          <w:sz w:val="28"/>
          <w:szCs w:val="28"/>
        </w:rPr>
        <w:t>人，指标完成率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2、质量指标：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指标1：工资及公用经费保障率，指标值：=100%，实际完成值： 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3、时效指标：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指标1：资金发放及时性，=100%，实际完成值：100%，指标完成率100%；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4、成本指标：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指标1：保障人员人均支出标准，指标值：≤</w:t>
      </w:r>
      <w:r>
        <w:rPr>
          <w:rStyle w:val="16"/>
          <w:rFonts w:hint="eastAsia" w:ascii="仿宋_GB2312" w:hAnsi="楷体" w:eastAsia="仿宋_GB2312"/>
          <w:b w:val="0"/>
          <w:spacing w:val="-4"/>
          <w:sz w:val="28"/>
          <w:szCs w:val="28"/>
          <w:lang w:val="en-US" w:eastAsia="zh-CN"/>
        </w:rPr>
        <w:t>109076.56</w:t>
      </w:r>
      <w:r>
        <w:rPr>
          <w:rStyle w:val="16"/>
          <w:rFonts w:hint="eastAsia" w:ascii="仿宋_GB2312" w:hAnsi="楷体" w:eastAsia="仿宋_GB2312"/>
          <w:b w:val="0"/>
          <w:spacing w:val="-4"/>
          <w:sz w:val="28"/>
          <w:szCs w:val="28"/>
        </w:rPr>
        <w:t>元/人/年，实际完成值：</w:t>
      </w:r>
      <w:r>
        <w:rPr>
          <w:rStyle w:val="16"/>
          <w:rFonts w:hint="eastAsia" w:ascii="仿宋_GB2312" w:hAnsi="楷体" w:eastAsia="仿宋_GB2312"/>
          <w:b w:val="0"/>
          <w:spacing w:val="-4"/>
          <w:sz w:val="28"/>
          <w:szCs w:val="28"/>
          <w:lang w:val="en-US" w:eastAsia="zh-CN"/>
        </w:rPr>
        <w:t>109076.56</w:t>
      </w:r>
      <w:r>
        <w:rPr>
          <w:rStyle w:val="16"/>
          <w:rFonts w:hint="eastAsia" w:ascii="仿宋_GB2312" w:hAnsi="楷体" w:eastAsia="仿宋_GB2312"/>
          <w:b w:val="0"/>
          <w:spacing w:val="-4"/>
          <w:sz w:val="28"/>
          <w:szCs w:val="28"/>
        </w:rPr>
        <w:t>元/人/年，指标完成率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指标2：退休人员计生奖励，指标值：≤</w:t>
      </w:r>
      <w:r>
        <w:rPr>
          <w:rStyle w:val="16"/>
          <w:rFonts w:hint="eastAsia" w:ascii="仿宋_GB2312" w:hAnsi="楷体" w:eastAsia="仿宋_GB2312"/>
          <w:b w:val="0"/>
          <w:spacing w:val="-4"/>
          <w:sz w:val="28"/>
          <w:szCs w:val="28"/>
          <w:lang w:val="en-US" w:eastAsia="zh-CN"/>
        </w:rPr>
        <w:t>837</w:t>
      </w:r>
      <w:r>
        <w:rPr>
          <w:rStyle w:val="16"/>
          <w:rFonts w:hint="eastAsia" w:ascii="仿宋_GB2312" w:hAnsi="楷体" w:eastAsia="仿宋_GB2312"/>
          <w:b w:val="0"/>
          <w:spacing w:val="-4"/>
          <w:sz w:val="28"/>
          <w:szCs w:val="28"/>
        </w:rPr>
        <w:t xml:space="preserve">元/人/年，实际完成值： </w:t>
      </w:r>
      <w:r>
        <w:rPr>
          <w:rStyle w:val="16"/>
          <w:rFonts w:hint="eastAsia" w:ascii="仿宋_GB2312" w:hAnsi="楷体" w:eastAsia="仿宋_GB2312"/>
          <w:b w:val="0"/>
          <w:spacing w:val="-4"/>
          <w:sz w:val="28"/>
          <w:szCs w:val="28"/>
          <w:lang w:val="en-US" w:eastAsia="zh-CN"/>
        </w:rPr>
        <w:t>837</w:t>
      </w:r>
      <w:r>
        <w:rPr>
          <w:rStyle w:val="16"/>
          <w:rFonts w:hint="eastAsia" w:ascii="仿宋_GB2312" w:hAnsi="楷体" w:eastAsia="仿宋_GB2312"/>
          <w:b w:val="0"/>
          <w:spacing w:val="-4"/>
          <w:sz w:val="28"/>
          <w:szCs w:val="28"/>
        </w:rPr>
        <w:t>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指标3：采暖补贴，指标值：≤1300元/人/年，实际完成值： 1300元/人/年，指标完成率100%；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指标4：遗属补助，指标值：≤</w:t>
      </w:r>
      <w:r>
        <w:rPr>
          <w:rStyle w:val="16"/>
          <w:rFonts w:hint="eastAsia" w:ascii="仿宋_GB2312" w:hAnsi="楷体" w:eastAsia="仿宋_GB2312"/>
          <w:b w:val="0"/>
          <w:spacing w:val="-4"/>
          <w:sz w:val="28"/>
          <w:szCs w:val="28"/>
          <w:lang w:val="en-US" w:eastAsia="zh-CN"/>
        </w:rPr>
        <w:t>4740</w:t>
      </w:r>
      <w:r>
        <w:rPr>
          <w:rStyle w:val="16"/>
          <w:rFonts w:hint="eastAsia" w:ascii="仿宋_GB2312" w:hAnsi="楷体" w:eastAsia="仿宋_GB2312"/>
          <w:b w:val="0"/>
          <w:spacing w:val="-4"/>
          <w:sz w:val="28"/>
          <w:szCs w:val="28"/>
        </w:rPr>
        <w:t>元/人/年，实际完成值：</w:t>
      </w:r>
      <w:r>
        <w:rPr>
          <w:rStyle w:val="16"/>
          <w:rFonts w:hint="eastAsia" w:ascii="仿宋_GB2312" w:hAnsi="楷体" w:eastAsia="仿宋_GB2312"/>
          <w:b w:val="0"/>
          <w:spacing w:val="-4"/>
          <w:sz w:val="28"/>
          <w:szCs w:val="28"/>
          <w:lang w:val="en-US" w:eastAsia="zh-CN"/>
        </w:rPr>
        <w:t>4740</w:t>
      </w:r>
      <w:r>
        <w:rPr>
          <w:rStyle w:val="16"/>
          <w:rFonts w:hint="eastAsia" w:ascii="仿宋_GB2312" w:hAnsi="楷体" w:eastAsia="仿宋_GB2312"/>
          <w:b w:val="0"/>
          <w:spacing w:val="-4"/>
          <w:sz w:val="28"/>
          <w:szCs w:val="28"/>
        </w:rPr>
        <w:t>元/人/年，指标完成率1</w:t>
      </w:r>
      <w:r>
        <w:rPr>
          <w:rStyle w:val="16"/>
          <w:rFonts w:ascii="仿宋_GB2312" w:hAnsi="楷体" w:eastAsia="仿宋_GB2312"/>
          <w:b w:val="0"/>
          <w:spacing w:val="-4"/>
          <w:sz w:val="28"/>
          <w:szCs w:val="28"/>
        </w:rPr>
        <w:t>0</w:t>
      </w:r>
      <w:r>
        <w:rPr>
          <w:rStyle w:val="16"/>
          <w:rFonts w:hint="eastAsia" w:ascii="仿宋_GB2312" w:hAnsi="楷体" w:eastAsia="仿宋_GB2312"/>
          <w:b w:val="0"/>
          <w:spacing w:val="-4"/>
          <w:sz w:val="28"/>
          <w:szCs w:val="28"/>
        </w:rPr>
        <w:t>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5、社会效益指标：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指标1：保证教学任务及时完成，指标值：有效保证 ，实际完成值：有效保证，指标完成率100%；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指标2：保证教师队伍稳定，指标值：有效保证，实际完成值：有效保证，指标完成率100%；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6、满意度指标：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指标1：教师满意度，指标值：≥95%，实际完成值：95%，指标完成率100%；</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指标2：退休教师满意度，指标值：≥95%，实际完成值：95%，指标完成率100%</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1、预算绩效管理观念淡薄，缺乏主动性。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2、预算绩效管理的组织架构不够完善，缺乏统筹性。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3、绩效型预算编制脱离实际，缺乏前瞻性。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ascii="仿宋_GB2312" w:eastAsia="仿宋_GB2312" w:hAnsiTheme="majorEastAsia"/>
          <w:sz w:val="32"/>
          <w:szCs w:val="32"/>
        </w:rPr>
      </w:pPr>
      <w:r>
        <w:rPr>
          <w:rStyle w:val="16"/>
          <w:rFonts w:hint="eastAsia" w:ascii="仿宋_GB2312" w:hAnsi="楷体" w:eastAsia="仿宋_GB2312"/>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Fonts w:ascii="仿宋" w:hAnsi="仿宋" w:eastAsia="仿宋"/>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spacing w:line="360" w:lineRule="auto"/>
        <w:ind w:firstLine="544" w:firstLineChars="200"/>
        <w:rPr>
          <w:rStyle w:val="16"/>
          <w:rFonts w:ascii="仿宋_GB2312" w:hAnsi="楷体" w:eastAsia="仿宋_GB2312"/>
          <w:b w:val="0"/>
          <w:spacing w:val="-4"/>
          <w:sz w:val="28"/>
          <w:szCs w:val="28"/>
        </w:rPr>
      </w:pPr>
      <w:bookmarkStart w:id="31" w:name="_Toc70450321"/>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p/>
    <w:p/>
    <w:tbl>
      <w:tblPr>
        <w:tblStyle w:val="14"/>
        <w:tblW w:w="9104" w:type="dxa"/>
        <w:tblInd w:w="93" w:type="dxa"/>
        <w:tblLayout w:type="autofit"/>
        <w:tblCellMar>
          <w:top w:w="0" w:type="dxa"/>
          <w:left w:w="108" w:type="dxa"/>
          <w:bottom w:w="0" w:type="dxa"/>
          <w:right w:w="108" w:type="dxa"/>
        </w:tblCellMar>
      </w:tblPr>
      <w:tblGrid>
        <w:gridCol w:w="460"/>
        <w:gridCol w:w="1160"/>
        <w:gridCol w:w="2500"/>
        <w:gridCol w:w="816"/>
        <w:gridCol w:w="816"/>
        <w:gridCol w:w="760"/>
        <w:gridCol w:w="916"/>
        <w:gridCol w:w="462"/>
        <w:gridCol w:w="454"/>
        <w:gridCol w:w="760"/>
      </w:tblGrid>
      <w:tr>
        <w:tblPrEx>
          <w:tblCellMar>
            <w:top w:w="0" w:type="dxa"/>
            <w:left w:w="108" w:type="dxa"/>
            <w:bottom w:w="0" w:type="dxa"/>
            <w:right w:w="108" w:type="dxa"/>
          </w:tblCellMar>
        </w:tblPrEx>
        <w:trPr>
          <w:trHeight w:val="615"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部门整体支出绩效目标自评表</w:t>
            </w:r>
          </w:p>
        </w:tc>
      </w:tr>
      <w:tr>
        <w:tblPrEx>
          <w:tblCellMar>
            <w:top w:w="0" w:type="dxa"/>
            <w:left w:w="108" w:type="dxa"/>
            <w:bottom w:w="0" w:type="dxa"/>
            <w:right w:w="108" w:type="dxa"/>
          </w:tblCellMar>
        </w:tblPrEx>
        <w:trPr>
          <w:trHeight w:val="414"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20"/>
                <w:szCs w:val="20"/>
              </w:rPr>
              <w:t>(2021年)</w:t>
            </w:r>
          </w:p>
        </w:tc>
      </w:tr>
      <w:tr>
        <w:tblPrEx>
          <w:tblCellMar>
            <w:top w:w="0" w:type="dxa"/>
            <w:left w:w="108" w:type="dxa"/>
            <w:bottom w:w="0" w:type="dxa"/>
            <w:right w:w="108" w:type="dxa"/>
          </w:tblCellMar>
        </w:tblPrEx>
        <w:trPr>
          <w:trHeight w:val="304" w:hRule="atLeast"/>
        </w:trPr>
        <w:tc>
          <w:tcPr>
            <w:tcW w:w="162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部门（单位）名称</w:t>
            </w:r>
          </w:p>
        </w:tc>
        <w:tc>
          <w:tcPr>
            <w:tcW w:w="7484"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lang w:eastAsia="zh-CN"/>
              </w:rPr>
            </w:pPr>
            <w:r>
              <w:rPr>
                <w:rFonts w:hint="eastAsia" w:ascii="宋体" w:hAnsi="宋体" w:eastAsia="宋体" w:cs="宋体"/>
                <w:kern w:val="0"/>
                <w:sz w:val="16"/>
                <w:szCs w:val="16"/>
              </w:rPr>
              <w:t>特克斯县</w:t>
            </w:r>
            <w:r>
              <w:rPr>
                <w:rFonts w:hint="eastAsia" w:ascii="宋体" w:hAnsi="宋体" w:eastAsia="宋体" w:cs="宋体"/>
                <w:kern w:val="0"/>
                <w:sz w:val="16"/>
                <w:szCs w:val="16"/>
                <w:lang w:eastAsia="zh-CN"/>
              </w:rPr>
              <w:t>乔拉克铁热克镇寄宿制初级中学</w:t>
            </w:r>
          </w:p>
        </w:tc>
      </w:tr>
      <w:tr>
        <w:tblPrEx>
          <w:tblCellMar>
            <w:top w:w="0" w:type="dxa"/>
            <w:left w:w="108" w:type="dxa"/>
            <w:bottom w:w="0" w:type="dxa"/>
            <w:right w:w="108" w:type="dxa"/>
          </w:tblCellMar>
        </w:tblPrEx>
        <w:trPr>
          <w:trHeight w:val="698" w:hRule="atLeast"/>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年度主要任务</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任务名称</w:t>
            </w:r>
          </w:p>
        </w:tc>
        <w:tc>
          <w:tcPr>
            <w:tcW w:w="25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主要内容</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预算金额（万元）</w:t>
            </w:r>
          </w:p>
        </w:tc>
        <w:tc>
          <w:tcPr>
            <w:tcW w:w="259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实际执行（万元）</w:t>
            </w:r>
          </w:p>
        </w:tc>
      </w:tr>
      <w:tr>
        <w:tblPrEx>
          <w:tblCellMar>
            <w:top w:w="0" w:type="dxa"/>
            <w:left w:w="108" w:type="dxa"/>
            <w:bottom w:w="0" w:type="dxa"/>
            <w:right w:w="108" w:type="dxa"/>
          </w:tblCellMar>
        </w:tblPrEx>
        <w:trPr>
          <w:trHeight w:val="698"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25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r>
      <w:tr>
        <w:tblPrEx>
          <w:tblCellMar>
            <w:top w:w="0" w:type="dxa"/>
            <w:left w:w="108" w:type="dxa"/>
            <w:bottom w:w="0" w:type="dxa"/>
            <w:right w:w="108" w:type="dxa"/>
          </w:tblCellMar>
        </w:tblPrEx>
        <w:trPr>
          <w:trHeight w:val="660"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人员保障</w:t>
            </w:r>
          </w:p>
        </w:tc>
        <w:tc>
          <w:tcPr>
            <w:tcW w:w="2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用于保障部门单位人员发放工资福利支出及对个人和家庭补助</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5268.4</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5268.4</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highlight w:val="none"/>
                <w:lang w:val="en-US" w:eastAsia="zh-CN"/>
              </w:rPr>
            </w:pPr>
            <w:r>
              <w:rPr>
                <w:rFonts w:hint="eastAsia" w:ascii="宋体" w:hAnsi="宋体" w:eastAsia="宋体" w:cs="宋体"/>
                <w:kern w:val="0"/>
                <w:sz w:val="20"/>
                <w:szCs w:val="20"/>
                <w:highlight w:val="none"/>
                <w:lang w:val="en-US" w:eastAsia="zh-CN"/>
              </w:rPr>
              <w:t>5268.4</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highlight w:val="none"/>
                <w:lang w:val="en-US" w:eastAsia="zh-CN"/>
              </w:rPr>
            </w:pPr>
            <w:r>
              <w:rPr>
                <w:rFonts w:hint="eastAsia" w:ascii="宋体" w:hAnsi="宋体" w:eastAsia="宋体" w:cs="宋体"/>
                <w:kern w:val="0"/>
                <w:sz w:val="20"/>
                <w:szCs w:val="20"/>
                <w:highlight w:val="none"/>
                <w:lang w:val="en-US" w:eastAsia="zh-CN"/>
              </w:rPr>
              <w:t>5268.4</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highlight w:val="none"/>
              </w:rPr>
            </w:pPr>
            <w:r>
              <w:rPr>
                <w:rFonts w:hint="eastAsia" w:ascii="宋体" w:hAnsi="宋体" w:eastAsia="宋体" w:cs="宋体"/>
                <w:b/>
                <w:bCs/>
                <w:kern w:val="0"/>
                <w:sz w:val="20"/>
                <w:szCs w:val="20"/>
                <w:highlight w:val="none"/>
              </w:rPr>
              <w:t>0</w:t>
            </w:r>
          </w:p>
        </w:tc>
      </w:tr>
      <w:tr>
        <w:tblPrEx>
          <w:tblCellMar>
            <w:top w:w="0" w:type="dxa"/>
            <w:left w:w="108" w:type="dxa"/>
            <w:bottom w:w="0" w:type="dxa"/>
            <w:right w:w="108" w:type="dxa"/>
          </w:tblCellMar>
        </w:tblPrEx>
        <w:trPr>
          <w:trHeight w:val="681"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运转保障</w:t>
            </w:r>
          </w:p>
        </w:tc>
        <w:tc>
          <w:tcPr>
            <w:tcW w:w="2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用于日常办公费、取暖费、三公经费、工会经费、福利费及其他商品和服务支出</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val="en-US" w:eastAsia="zh-CN"/>
              </w:rPr>
              <w:t>0</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val="en-US" w:eastAsia="zh-CN"/>
              </w:rPr>
              <w:t>0</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highlight w:val="none"/>
                <w:lang w:eastAsia="zh-CN"/>
              </w:rPr>
            </w:pPr>
            <w:r>
              <w:rPr>
                <w:rFonts w:hint="eastAsia" w:ascii="宋体" w:hAnsi="宋体" w:eastAsia="宋体" w:cs="宋体"/>
                <w:kern w:val="0"/>
                <w:sz w:val="20"/>
                <w:szCs w:val="20"/>
                <w:highlight w:val="none"/>
                <w:lang w:val="en-US" w:eastAsia="zh-CN"/>
              </w:rPr>
              <w:t>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highlight w:val="none"/>
                <w:lang w:eastAsia="zh-CN"/>
              </w:rPr>
            </w:pPr>
            <w:r>
              <w:rPr>
                <w:rFonts w:hint="eastAsia" w:ascii="宋体" w:hAnsi="宋体" w:eastAsia="宋体" w:cs="宋体"/>
                <w:kern w:val="0"/>
                <w:sz w:val="20"/>
                <w:szCs w:val="20"/>
                <w:highlight w:val="none"/>
                <w:lang w:val="en-US" w:eastAsia="zh-CN"/>
              </w:rPr>
              <w:t>0</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highlight w:val="none"/>
              </w:rPr>
            </w:pPr>
            <w:r>
              <w:rPr>
                <w:rFonts w:hint="eastAsia" w:ascii="宋体" w:hAnsi="宋体" w:eastAsia="宋体" w:cs="宋体"/>
                <w:b/>
                <w:bCs/>
                <w:kern w:val="0"/>
                <w:sz w:val="20"/>
                <w:szCs w:val="20"/>
                <w:highlight w:val="none"/>
              </w:rPr>
              <w:t>0</w:t>
            </w:r>
          </w:p>
        </w:tc>
      </w:tr>
      <w:tr>
        <w:tblPrEx>
          <w:tblCellMar>
            <w:top w:w="0" w:type="dxa"/>
            <w:left w:w="108" w:type="dxa"/>
            <w:bottom w:w="0" w:type="dxa"/>
            <w:right w:w="108" w:type="dxa"/>
          </w:tblCellMar>
        </w:tblPrEx>
        <w:trPr>
          <w:trHeight w:val="435"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3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金额合计</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5268.4</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5268.4</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highlight w:val="none"/>
                <w:lang w:val="en-US" w:eastAsia="zh-CN"/>
              </w:rPr>
            </w:pPr>
            <w:r>
              <w:rPr>
                <w:rFonts w:hint="eastAsia" w:ascii="宋体" w:hAnsi="宋体" w:eastAsia="宋体" w:cs="宋体"/>
                <w:kern w:val="0"/>
                <w:sz w:val="20"/>
                <w:szCs w:val="20"/>
                <w:highlight w:val="none"/>
                <w:lang w:val="en-US" w:eastAsia="zh-CN"/>
              </w:rPr>
              <w:t>5268.4</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highlight w:val="none"/>
                <w:lang w:val="en-US" w:eastAsia="zh-CN"/>
              </w:rPr>
            </w:pPr>
            <w:r>
              <w:rPr>
                <w:rFonts w:hint="eastAsia" w:ascii="宋体" w:hAnsi="宋体" w:eastAsia="宋体" w:cs="宋体"/>
                <w:kern w:val="0"/>
                <w:sz w:val="20"/>
                <w:szCs w:val="20"/>
                <w:highlight w:val="none"/>
                <w:lang w:val="en-US" w:eastAsia="zh-CN"/>
              </w:rPr>
              <w:t>5268.4</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none"/>
              </w:rPr>
            </w:pPr>
            <w:r>
              <w:rPr>
                <w:rFonts w:ascii="宋体" w:hAnsi="宋体" w:eastAsia="宋体" w:cs="宋体"/>
                <w:kern w:val="0"/>
                <w:sz w:val="20"/>
                <w:szCs w:val="20"/>
                <w:highlight w:val="none"/>
              </w:rPr>
              <w:t>0</w:t>
            </w:r>
          </w:p>
        </w:tc>
      </w:tr>
      <w:tr>
        <w:tblPrEx>
          <w:tblCellMar>
            <w:top w:w="0" w:type="dxa"/>
            <w:left w:w="108" w:type="dxa"/>
            <w:bottom w:w="0" w:type="dxa"/>
            <w:right w:w="108" w:type="dxa"/>
          </w:tblCellMar>
        </w:tblPrEx>
        <w:trPr>
          <w:trHeight w:val="495" w:hRule="atLeast"/>
        </w:trPr>
        <w:tc>
          <w:tcPr>
            <w:tcW w:w="46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年度总体目标</w:t>
            </w:r>
          </w:p>
        </w:tc>
        <w:tc>
          <w:tcPr>
            <w:tcW w:w="44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预期目标</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实际完成目标</w:t>
            </w:r>
          </w:p>
        </w:tc>
      </w:tr>
      <w:tr>
        <w:tblPrEx>
          <w:tblCellMar>
            <w:top w:w="0" w:type="dxa"/>
            <w:left w:w="108" w:type="dxa"/>
            <w:bottom w:w="0" w:type="dxa"/>
            <w:right w:w="108" w:type="dxa"/>
          </w:tblCellMar>
        </w:tblPrEx>
        <w:trPr>
          <w:trHeight w:val="1590" w:hRule="atLeast"/>
        </w:trPr>
        <w:tc>
          <w:tcPr>
            <w:tcW w:w="460" w:type="dxa"/>
            <w:vMerge w:val="continue"/>
            <w:tcBorders>
              <w:top w:val="nil"/>
              <w:left w:val="nil"/>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44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目标1：确保人员经费的合理分配。目标2：完成在职教师工资发放、按时完成社保、公积金缴纳。目标3：及时完成退休教师取暖费、计生奖励金的发放。目标4：完成每年教学任务。目5：全面推进各类教师能力提升培训，加强教师队伍建设。目标6：好教育教学管理工作。</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完成人员经费的合理分配。完成在职教师工资发放、按时完成社保、公积金缴纳。及时完成退休教师取暖费、计生奖励金的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900" w:hRule="atLeast"/>
        </w:trPr>
        <w:tc>
          <w:tcPr>
            <w:tcW w:w="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年度绩效指标</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一级指标</w:t>
            </w:r>
          </w:p>
        </w:tc>
        <w:tc>
          <w:tcPr>
            <w:tcW w:w="25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二级指标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三级指标</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预期指标值（包含数字及文字描述）</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实际完成指标值（包含数字及文字描述）</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r>
              <w:rPr>
                <w:rFonts w:hint="eastAsia" w:ascii="宋体" w:hAnsi="宋体" w:eastAsia="宋体" w:cs="宋体"/>
                <w:b/>
                <w:bCs/>
                <w:kern w:val="0"/>
                <w:sz w:val="24"/>
              </w:rPr>
              <w:t>6</w:t>
            </w:r>
          </w:p>
        </w:tc>
        <w:tc>
          <w:tcPr>
            <w:tcW w:w="11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保障在职人员人数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r>
              <w:rPr>
                <w:rFonts w:hint="eastAsia" w:ascii="宋体" w:hAnsi="宋体" w:eastAsia="宋体" w:cs="宋体"/>
                <w:kern w:val="0"/>
                <w:sz w:val="18"/>
                <w:szCs w:val="18"/>
                <w:highlight w:val="none"/>
                <w:lang w:val="en-US" w:eastAsia="zh-CN"/>
              </w:rPr>
              <w:t>483</w:t>
            </w:r>
            <w:r>
              <w:rPr>
                <w:rFonts w:hint="eastAsia" w:ascii="宋体" w:hAnsi="宋体" w:eastAsia="宋体" w:cs="宋体"/>
                <w:kern w:val="0"/>
                <w:sz w:val="18"/>
                <w:szCs w:val="18"/>
                <w:highlight w:val="none"/>
              </w:rPr>
              <w:t>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483</w:t>
            </w:r>
            <w:r>
              <w:rPr>
                <w:rFonts w:hint="eastAsia" w:ascii="宋体" w:hAnsi="宋体" w:eastAsia="宋体" w:cs="宋体"/>
                <w:kern w:val="0"/>
                <w:sz w:val="18"/>
                <w:szCs w:val="18"/>
                <w:highlight w:val="none"/>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退休人员数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r>
              <w:rPr>
                <w:rFonts w:hint="eastAsia" w:ascii="宋体" w:hAnsi="宋体" w:eastAsia="宋体" w:cs="宋体"/>
                <w:kern w:val="0"/>
                <w:sz w:val="18"/>
                <w:szCs w:val="18"/>
                <w:highlight w:val="none"/>
                <w:lang w:val="en-US" w:eastAsia="zh-CN"/>
              </w:rPr>
              <w:t>155</w:t>
            </w:r>
            <w:r>
              <w:rPr>
                <w:rFonts w:hint="eastAsia" w:ascii="宋体" w:hAnsi="宋体" w:eastAsia="宋体" w:cs="宋体"/>
                <w:kern w:val="0"/>
                <w:sz w:val="18"/>
                <w:szCs w:val="18"/>
                <w:highlight w:val="none"/>
              </w:rPr>
              <w:t>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155</w:t>
            </w:r>
            <w:r>
              <w:rPr>
                <w:rFonts w:hint="eastAsia" w:ascii="宋体" w:hAnsi="宋体" w:eastAsia="宋体" w:cs="宋体"/>
                <w:kern w:val="0"/>
                <w:sz w:val="18"/>
                <w:szCs w:val="18"/>
                <w:highlight w:val="none"/>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保障补贴人员人数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r>
              <w:rPr>
                <w:rFonts w:hint="eastAsia" w:ascii="宋体" w:hAnsi="宋体" w:eastAsia="宋体" w:cs="宋体"/>
                <w:kern w:val="0"/>
                <w:sz w:val="18"/>
                <w:szCs w:val="18"/>
                <w:highlight w:val="none"/>
                <w:lang w:val="en-US" w:eastAsia="zh-CN"/>
              </w:rPr>
              <w:t>638</w:t>
            </w:r>
            <w:r>
              <w:rPr>
                <w:rFonts w:hint="eastAsia" w:ascii="宋体" w:hAnsi="宋体" w:eastAsia="宋体" w:cs="宋体"/>
                <w:kern w:val="0"/>
                <w:sz w:val="18"/>
                <w:szCs w:val="18"/>
                <w:highlight w:val="none"/>
              </w:rPr>
              <w:t>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638</w:t>
            </w:r>
            <w:r>
              <w:rPr>
                <w:rFonts w:hint="eastAsia" w:ascii="宋体" w:hAnsi="宋体" w:eastAsia="宋体" w:cs="宋体"/>
                <w:kern w:val="0"/>
                <w:sz w:val="18"/>
                <w:szCs w:val="18"/>
                <w:highlight w:val="none"/>
              </w:rPr>
              <w:t>人</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采暖面积</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=109076.56平方米</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109076.56平方米</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nil"/>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工资及公用经费保障率</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=100%</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100%</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资金发放及时性</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=100%</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100%</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保障人员人均支出标准</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rPr>
              <w:t>≤124267.71元/人/年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rPr>
              <w:t>124267.71元/人/年</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退休人员计生奖励</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rPr>
              <w:t>≤</w:t>
            </w:r>
            <w:r>
              <w:rPr>
                <w:rFonts w:hint="eastAsia" w:ascii="宋体" w:hAnsi="宋体" w:eastAsia="宋体" w:cs="宋体"/>
                <w:kern w:val="0"/>
                <w:sz w:val="16"/>
                <w:szCs w:val="16"/>
                <w:highlight w:val="none"/>
                <w:lang w:val="en-US" w:eastAsia="zh-CN"/>
              </w:rPr>
              <w:t>837</w:t>
            </w:r>
            <w:r>
              <w:rPr>
                <w:rFonts w:hint="eastAsia" w:ascii="宋体" w:hAnsi="宋体" w:eastAsia="宋体" w:cs="宋体"/>
                <w:kern w:val="0"/>
                <w:sz w:val="16"/>
                <w:szCs w:val="16"/>
                <w:highlight w:val="none"/>
              </w:rPr>
              <w:t>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lang w:val="en-US" w:eastAsia="zh-CN"/>
              </w:rPr>
              <w:t>837</w:t>
            </w:r>
            <w:r>
              <w:rPr>
                <w:rFonts w:hint="eastAsia" w:ascii="宋体" w:hAnsi="宋体" w:eastAsia="宋体" w:cs="宋体"/>
                <w:kern w:val="0"/>
                <w:sz w:val="16"/>
                <w:szCs w:val="16"/>
                <w:highlight w:val="none"/>
              </w:rPr>
              <w:t>元/人/年</w:t>
            </w:r>
          </w:p>
        </w:tc>
      </w:tr>
      <w:tr>
        <w:tblPrEx>
          <w:tblCellMar>
            <w:top w:w="0" w:type="dxa"/>
            <w:left w:w="108" w:type="dxa"/>
            <w:bottom w:w="0" w:type="dxa"/>
            <w:right w:w="108" w:type="dxa"/>
          </w:tblCellMar>
        </w:tblPrEx>
        <w:trPr>
          <w:trHeight w:val="339"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采暖补贴</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rPr>
              <w:t>≤1300元/人/年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rPr>
              <w:t>1300元/人/年</w:t>
            </w:r>
          </w:p>
        </w:tc>
      </w:tr>
      <w:tr>
        <w:tblPrEx>
          <w:tblCellMar>
            <w:top w:w="0" w:type="dxa"/>
            <w:left w:w="108" w:type="dxa"/>
            <w:bottom w:w="0" w:type="dxa"/>
            <w:right w:w="108" w:type="dxa"/>
          </w:tblCellMar>
        </w:tblPrEx>
        <w:trPr>
          <w:trHeight w:val="34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遗属补助</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rPr>
              <w:t>≤</w:t>
            </w:r>
            <w:r>
              <w:rPr>
                <w:rFonts w:hint="eastAsia" w:ascii="宋体" w:hAnsi="宋体" w:eastAsia="宋体" w:cs="宋体"/>
                <w:kern w:val="0"/>
                <w:sz w:val="16"/>
                <w:szCs w:val="16"/>
                <w:highlight w:val="none"/>
                <w:lang w:val="en-US" w:eastAsia="zh-CN"/>
              </w:rPr>
              <w:t>4740</w:t>
            </w:r>
            <w:r>
              <w:rPr>
                <w:rFonts w:hint="eastAsia" w:ascii="宋体" w:hAnsi="宋体" w:eastAsia="宋体" w:cs="宋体"/>
                <w:kern w:val="0"/>
                <w:sz w:val="16"/>
                <w:szCs w:val="16"/>
                <w:highlight w:val="none"/>
              </w:rPr>
              <w:t>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lang w:val="en-US" w:eastAsia="zh-CN"/>
              </w:rPr>
              <w:t>4740</w:t>
            </w:r>
            <w:r>
              <w:rPr>
                <w:rFonts w:hint="eastAsia" w:ascii="宋体" w:hAnsi="宋体" w:eastAsia="宋体" w:cs="宋体"/>
                <w:kern w:val="0"/>
                <w:sz w:val="16"/>
                <w:szCs w:val="16"/>
                <w:highlight w:val="none"/>
              </w:rPr>
              <w:t>元/人/年</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保证教学任务及时完成</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有效保证</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保证教师队伍稳定</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有效保证</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教师满意度</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≥95%</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95%</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退休教师满意度</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≥95%</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abstractNum w:abstractNumId="1">
    <w:nsid w:val="9E30C3AD"/>
    <w:multiLevelType w:val="singleLevel"/>
    <w:tmpl w:val="9E30C3AD"/>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4YzQyODg4Y2M2YmM2MTRiMWVlOWEwZTBhNzRhNTQifQ=="/>
  </w:docVars>
  <w:rsids>
    <w:rsidRoot w:val="00633862"/>
    <w:rsid w:val="00025A44"/>
    <w:rsid w:val="000376C8"/>
    <w:rsid w:val="00072084"/>
    <w:rsid w:val="0009422A"/>
    <w:rsid w:val="000B6B13"/>
    <w:rsid w:val="000D1DEE"/>
    <w:rsid w:val="000D3AFA"/>
    <w:rsid w:val="000E3313"/>
    <w:rsid w:val="00105D60"/>
    <w:rsid w:val="001121F2"/>
    <w:rsid w:val="00112859"/>
    <w:rsid w:val="001173EB"/>
    <w:rsid w:val="00150C4C"/>
    <w:rsid w:val="00191BA3"/>
    <w:rsid w:val="001A2299"/>
    <w:rsid w:val="001A3A0E"/>
    <w:rsid w:val="001F630E"/>
    <w:rsid w:val="0022744B"/>
    <w:rsid w:val="00234372"/>
    <w:rsid w:val="00234B37"/>
    <w:rsid w:val="00246941"/>
    <w:rsid w:val="002553DC"/>
    <w:rsid w:val="002764C7"/>
    <w:rsid w:val="00283AA2"/>
    <w:rsid w:val="002A102C"/>
    <w:rsid w:val="002D075E"/>
    <w:rsid w:val="00303A08"/>
    <w:rsid w:val="003226C4"/>
    <w:rsid w:val="0033316F"/>
    <w:rsid w:val="0039631D"/>
    <w:rsid w:val="003B3C33"/>
    <w:rsid w:val="003E3DEF"/>
    <w:rsid w:val="003E7C70"/>
    <w:rsid w:val="004220B9"/>
    <w:rsid w:val="00463E61"/>
    <w:rsid w:val="0049337C"/>
    <w:rsid w:val="004C4C4D"/>
    <w:rsid w:val="004C6FF3"/>
    <w:rsid w:val="004E69F5"/>
    <w:rsid w:val="004E7AAC"/>
    <w:rsid w:val="00531A31"/>
    <w:rsid w:val="00533C6C"/>
    <w:rsid w:val="005359D3"/>
    <w:rsid w:val="00546768"/>
    <w:rsid w:val="00554458"/>
    <w:rsid w:val="00593943"/>
    <w:rsid w:val="005A08A8"/>
    <w:rsid w:val="005B1250"/>
    <w:rsid w:val="005C33CE"/>
    <w:rsid w:val="006225D7"/>
    <w:rsid w:val="00633862"/>
    <w:rsid w:val="006379B7"/>
    <w:rsid w:val="006413B6"/>
    <w:rsid w:val="006774B2"/>
    <w:rsid w:val="006910A7"/>
    <w:rsid w:val="00691310"/>
    <w:rsid w:val="006A7181"/>
    <w:rsid w:val="006C5BED"/>
    <w:rsid w:val="006D3947"/>
    <w:rsid w:val="00702D4A"/>
    <w:rsid w:val="00704751"/>
    <w:rsid w:val="007115C8"/>
    <w:rsid w:val="00713ADC"/>
    <w:rsid w:val="00725B9A"/>
    <w:rsid w:val="00754721"/>
    <w:rsid w:val="007713F8"/>
    <w:rsid w:val="007A7491"/>
    <w:rsid w:val="007A7874"/>
    <w:rsid w:val="007E23B1"/>
    <w:rsid w:val="00800784"/>
    <w:rsid w:val="00817432"/>
    <w:rsid w:val="008614D8"/>
    <w:rsid w:val="0086230F"/>
    <w:rsid w:val="00875327"/>
    <w:rsid w:val="00886879"/>
    <w:rsid w:val="008875A1"/>
    <w:rsid w:val="00890FC2"/>
    <w:rsid w:val="008E3F8A"/>
    <w:rsid w:val="00923468"/>
    <w:rsid w:val="00952782"/>
    <w:rsid w:val="0095580D"/>
    <w:rsid w:val="0097614B"/>
    <w:rsid w:val="00990F1C"/>
    <w:rsid w:val="00992D45"/>
    <w:rsid w:val="009A10CC"/>
    <w:rsid w:val="009A1625"/>
    <w:rsid w:val="009C0DEF"/>
    <w:rsid w:val="009E5FF8"/>
    <w:rsid w:val="009F06F4"/>
    <w:rsid w:val="00A05135"/>
    <w:rsid w:val="00A07414"/>
    <w:rsid w:val="00A2396A"/>
    <w:rsid w:val="00A43D21"/>
    <w:rsid w:val="00A55238"/>
    <w:rsid w:val="00AA19F1"/>
    <w:rsid w:val="00AA5126"/>
    <w:rsid w:val="00AC4471"/>
    <w:rsid w:val="00AD16CD"/>
    <w:rsid w:val="00AF42EB"/>
    <w:rsid w:val="00B130FE"/>
    <w:rsid w:val="00B17FA8"/>
    <w:rsid w:val="00B34A48"/>
    <w:rsid w:val="00B34F85"/>
    <w:rsid w:val="00B407C3"/>
    <w:rsid w:val="00B666A1"/>
    <w:rsid w:val="00B8256C"/>
    <w:rsid w:val="00B91294"/>
    <w:rsid w:val="00BA1454"/>
    <w:rsid w:val="00BF1F34"/>
    <w:rsid w:val="00C16942"/>
    <w:rsid w:val="00C3552F"/>
    <w:rsid w:val="00C42609"/>
    <w:rsid w:val="00C4673D"/>
    <w:rsid w:val="00C76454"/>
    <w:rsid w:val="00C81F75"/>
    <w:rsid w:val="00CB1C9D"/>
    <w:rsid w:val="00CB6A92"/>
    <w:rsid w:val="00CC7606"/>
    <w:rsid w:val="00CD2F35"/>
    <w:rsid w:val="00CE16E7"/>
    <w:rsid w:val="00CE61DB"/>
    <w:rsid w:val="00D26F3D"/>
    <w:rsid w:val="00D278CF"/>
    <w:rsid w:val="00D43082"/>
    <w:rsid w:val="00D77626"/>
    <w:rsid w:val="00D81EE2"/>
    <w:rsid w:val="00DA4CE0"/>
    <w:rsid w:val="00DA67B8"/>
    <w:rsid w:val="00DB1085"/>
    <w:rsid w:val="00DD223C"/>
    <w:rsid w:val="00E213C7"/>
    <w:rsid w:val="00E41A31"/>
    <w:rsid w:val="00E536C5"/>
    <w:rsid w:val="00E6582B"/>
    <w:rsid w:val="00E7188B"/>
    <w:rsid w:val="00EA25B8"/>
    <w:rsid w:val="00EA5F4F"/>
    <w:rsid w:val="00F006BD"/>
    <w:rsid w:val="00F014EE"/>
    <w:rsid w:val="00F17550"/>
    <w:rsid w:val="00F27120"/>
    <w:rsid w:val="00F341E0"/>
    <w:rsid w:val="00F36401"/>
    <w:rsid w:val="00F41E0B"/>
    <w:rsid w:val="00F42445"/>
    <w:rsid w:val="00F44FCC"/>
    <w:rsid w:val="00F50F36"/>
    <w:rsid w:val="00F74974"/>
    <w:rsid w:val="00F82795"/>
    <w:rsid w:val="00F829DE"/>
    <w:rsid w:val="00F84215"/>
    <w:rsid w:val="00F91CBB"/>
    <w:rsid w:val="00FC2EB7"/>
    <w:rsid w:val="09507CDE"/>
    <w:rsid w:val="09DA1C2B"/>
    <w:rsid w:val="0E9A5E97"/>
    <w:rsid w:val="106E5105"/>
    <w:rsid w:val="15F72E61"/>
    <w:rsid w:val="1C3739D3"/>
    <w:rsid w:val="1EB60E4D"/>
    <w:rsid w:val="1FBA44BE"/>
    <w:rsid w:val="24FD2B3F"/>
    <w:rsid w:val="27845646"/>
    <w:rsid w:val="340C7ED7"/>
    <w:rsid w:val="3CBF2E2D"/>
    <w:rsid w:val="3DC049AF"/>
    <w:rsid w:val="3ED15516"/>
    <w:rsid w:val="44FD0016"/>
    <w:rsid w:val="55664BF9"/>
    <w:rsid w:val="56EB110A"/>
    <w:rsid w:val="6FFE486D"/>
    <w:rsid w:val="74C53339"/>
    <w:rsid w:val="79193487"/>
    <w:rsid w:val="7AE94436"/>
    <w:rsid w:val="7B6D08F5"/>
    <w:rsid w:val="7FC51D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D0C3-B9C5-447F-BA9C-142297330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6533</Words>
  <Characters>7067</Characters>
  <Lines>8</Lines>
  <Paragraphs>14</Paragraphs>
  <TotalTime>41</TotalTime>
  <ScaleCrop>false</ScaleCrop>
  <LinksUpToDate>false</LinksUpToDate>
  <CharactersWithSpaces>7091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2022-05-26T09:33:03Z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F89C093EA09F4201865F670E4ED58BE2</vt:lpwstr>
  </property>
</Properties>
</file>